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6749" w14:textId="1253AB55" w:rsidR="00165AD1" w:rsidRPr="004D629F" w:rsidRDefault="00CB629D"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2EE09354" wp14:editId="741519F7">
                <wp:simplePos x="0" y="0"/>
                <wp:positionH relativeFrom="page">
                  <wp:posOffset>6690995</wp:posOffset>
                </wp:positionH>
                <wp:positionV relativeFrom="page">
                  <wp:posOffset>227330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344E5" w14:textId="785270FA" w:rsidR="00CB629D" w:rsidRPr="00260E65" w:rsidRDefault="00CB629D" w:rsidP="00CB629D">
                            <w:pPr>
                              <w:jc w:val="center"/>
                              <w:rPr>
                                <w:rFonts w:ascii="Arial" w:hAnsi="Arial" w:cs="Arial"/>
                                <w:b/>
                                <w:bCs/>
                                <w:sz w:val="48"/>
                                <w:lang w:val="nl-BE"/>
                              </w:rPr>
                            </w:pPr>
                            <w:r>
                              <w:rPr>
                                <w:rFonts w:ascii="Arial" w:hAnsi="Arial" w:cs="Arial"/>
                                <w:b/>
                                <w:bCs/>
                                <w:sz w:val="48"/>
                                <w:lang w:val="nl-BE"/>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09354" id="_x0000_t202" coordsize="21600,21600" o:spt="202" path="m,l,21600r21600,l21600,xe">
                <v:stroke joinstyle="miter"/>
                <v:path gradientshapeok="t" o:connecttype="rect"/>
              </v:shapetype>
              <v:shape id="Text Box 17" o:spid="_x0000_s1026" type="#_x0000_t202" style="position:absolute;left:0;text-align:left;margin-left:526.85pt;margin-top:17.9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" o:allowincell="f" filled="f" stroked="f">
                <v:textbox>
                  <w:txbxContent>
                    <w:p w14:paraId="5CD344E5" w14:textId="785270FA" w:rsidR="00CB629D" w:rsidRPr="00260E65" w:rsidRDefault="00CB629D" w:rsidP="00CB629D">
                      <w:pPr>
                        <w:jc w:val="center"/>
                        <w:rPr>
                          <w:rFonts w:ascii="Arial" w:hAnsi="Arial" w:cs="Arial"/>
                          <w:b/>
                          <w:bCs/>
                          <w:sz w:val="48"/>
                          <w:lang w:val="nl-BE"/>
                        </w:rPr>
                      </w:pPr>
                      <w:r>
                        <w:rPr>
                          <w:rFonts w:ascii="Arial" w:hAnsi="Arial" w:cs="Arial"/>
                          <w:b/>
                          <w:bCs/>
                          <w:sz w:val="48"/>
                          <w:lang w:val="nl-BE"/>
                        </w:rPr>
                        <w:t>DA</w:t>
                      </w:r>
                    </w:p>
                  </w:txbxContent>
                </v:textbox>
                <w10:wrap anchorx="page" anchory="page"/>
              </v:shape>
            </w:pict>
          </mc:Fallback>
        </mc:AlternateContent>
      </w:r>
      <w:r w:rsidR="00165AD1">
        <w:rPr>
          <w:b/>
          <w:color w:val="000000" w:themeColor="text1"/>
          <w:u w:val="single"/>
        </w:rPr>
        <w:t>Alliancen af bilproducerende regioner</w:t>
      </w:r>
    </w:p>
    <w:p w14:paraId="621A07A7" w14:textId="77777777" w:rsidR="00165AD1" w:rsidRPr="004D629F" w:rsidRDefault="00165AD1" w:rsidP="00412AE9">
      <w:pPr>
        <w:keepNext/>
        <w:jc w:val="center"/>
        <w:rPr>
          <w:b/>
          <w:color w:val="000000" w:themeColor="text1"/>
          <w:u w:val="single"/>
        </w:rPr>
      </w:pPr>
      <w:r>
        <w:rPr>
          <w:b/>
          <w:color w:val="000000" w:themeColor="text1"/>
          <w:u w:val="single"/>
        </w:rPr>
        <w:t>Erklæring om en retfærdig og vellykket omstilling</w:t>
      </w:r>
    </w:p>
    <w:p w14:paraId="1BA46AFC" w14:textId="77777777" w:rsidR="00165AD1" w:rsidRPr="004D629F" w:rsidRDefault="00165AD1" w:rsidP="00412AE9">
      <w:pPr>
        <w:keepNext/>
        <w:jc w:val="center"/>
        <w:rPr>
          <w:b/>
          <w:color w:val="000000" w:themeColor="text1"/>
          <w:u w:val="single"/>
        </w:rPr>
      </w:pPr>
    </w:p>
    <w:p w14:paraId="0DA90CCF" w14:textId="77777777" w:rsidR="00165AD1" w:rsidRPr="004D629F" w:rsidRDefault="00165AD1" w:rsidP="00412AE9">
      <w:pPr>
        <w:rPr>
          <w:color w:val="000000" w:themeColor="text1"/>
        </w:rPr>
      </w:pPr>
      <w:r>
        <w:rPr>
          <w:color w:val="000000" w:themeColor="text1"/>
        </w:rPr>
        <w:t>Alliancen af bilproducerende regioner, der er en alliance af regioner med en stærk bilsektor, som også omfatter forsyningsindustrien, anerkender fuldt ud behovet for at vise handlekraft for at opfylde EU's klimamål. Alle transportformer skal gøres mere bæredygtige, og vejtransporten er nødt til at mindske emissionerne betragteligt. Vi er klar over, at dette vil føre til ændringer i vores regioner.</w:t>
      </w:r>
    </w:p>
    <w:p w14:paraId="295D0AB6" w14:textId="77777777" w:rsidR="00560CF8" w:rsidRPr="004D629F" w:rsidRDefault="00560CF8" w:rsidP="00412AE9">
      <w:pPr>
        <w:rPr>
          <w:color w:val="000000" w:themeColor="text1"/>
        </w:rPr>
      </w:pPr>
    </w:p>
    <w:p w14:paraId="7170B3B8" w14:textId="77777777" w:rsidR="00165AD1" w:rsidRPr="004D629F" w:rsidRDefault="00165AD1" w:rsidP="00412AE9">
      <w:pPr>
        <w:rPr>
          <w:color w:val="000000" w:themeColor="text1"/>
        </w:rPr>
      </w:pPr>
      <w:r>
        <w:rPr>
          <w:color w:val="000000" w:themeColor="text1"/>
        </w:rPr>
        <w:t>Vi ønsker at sikre, at denne omstilling inden for vejtransport og i bilsektoren bliver retfærdig og gennemføres med succes for vores regioner og borgerne samt for virksomhederne i hele værdikæden, hvilket sikrer, at der ikke er nogen regioner, som lades i stikken.</w:t>
      </w:r>
    </w:p>
    <w:p w14:paraId="0BAB7E40" w14:textId="77777777" w:rsidR="00560CF8" w:rsidRPr="004D629F" w:rsidRDefault="00560CF8" w:rsidP="00412AE9">
      <w:pPr>
        <w:rPr>
          <w:color w:val="000000" w:themeColor="text1"/>
        </w:rPr>
      </w:pPr>
    </w:p>
    <w:p w14:paraId="4D172003" w14:textId="77777777" w:rsidR="00165AD1" w:rsidRPr="004D629F" w:rsidRDefault="00165AD1" w:rsidP="00412AE9">
      <w:pPr>
        <w:rPr>
          <w:color w:val="000000" w:themeColor="text1"/>
        </w:rPr>
      </w:pPr>
      <w:r>
        <w:rPr>
          <w:color w:val="000000" w:themeColor="text1"/>
        </w:rPr>
        <w:t>Alliancen efterlyser handling fra EU's side for at opnå følgende:</w:t>
      </w:r>
    </w:p>
    <w:p w14:paraId="0B33E6DD" w14:textId="77777777" w:rsidR="00560CF8" w:rsidRPr="004D629F" w:rsidRDefault="00560CF8" w:rsidP="00412AE9">
      <w:pPr>
        <w:rPr>
          <w:color w:val="000000" w:themeColor="text1"/>
        </w:rPr>
      </w:pPr>
    </w:p>
    <w:p w14:paraId="612C629B" w14:textId="77777777" w:rsidR="00165AD1" w:rsidRPr="004D629F" w:rsidRDefault="00165AD1">
      <w:pPr>
        <w:numPr>
          <w:ilvl w:val="0"/>
          <w:numId w:val="18"/>
        </w:numPr>
        <w:rPr>
          <w:color w:val="000000" w:themeColor="text1"/>
        </w:rPr>
      </w:pPr>
      <w:r>
        <w:rPr>
          <w:color w:val="000000" w:themeColor="text1"/>
        </w:rPr>
        <w:t xml:space="preserve">Hurtigst muligt oprette en </w:t>
      </w:r>
      <w:r>
        <w:rPr>
          <w:b/>
          <w:color w:val="000000" w:themeColor="text1"/>
        </w:rPr>
        <w:t>europæisk mekanisme til støtte for en retfærdig omstilling i de europæiske regioner med bil- og forsyningsindustri</w:t>
      </w:r>
      <w:r>
        <w:rPr>
          <w:color w:val="000000" w:themeColor="text1"/>
        </w:rPr>
        <w:t xml:space="preserve">, herunder ved at strømline </w:t>
      </w:r>
      <w:r>
        <w:rPr>
          <w:b/>
          <w:color w:val="000000" w:themeColor="text1"/>
        </w:rPr>
        <w:t>yderligere særlige budgetposter</w:t>
      </w:r>
      <w:r>
        <w:rPr>
          <w:color w:val="000000" w:themeColor="text1"/>
        </w:rPr>
        <w:t xml:space="preserve"> i de forskellige europæiske fonde og programmer.</w:t>
      </w:r>
    </w:p>
    <w:p w14:paraId="7ECFC898" w14:textId="77777777" w:rsidR="00165AD1" w:rsidRPr="004D629F" w:rsidRDefault="00165AD1">
      <w:pPr>
        <w:numPr>
          <w:ilvl w:val="0"/>
          <w:numId w:val="18"/>
        </w:numPr>
        <w:rPr>
          <w:color w:val="000000" w:themeColor="text1"/>
        </w:rPr>
      </w:pPr>
      <w:r>
        <w:rPr>
          <w:color w:val="000000" w:themeColor="text1"/>
        </w:rPr>
        <w:t xml:space="preserve">Udarbejde en detaljeret </w:t>
      </w:r>
      <w:r>
        <w:rPr>
          <w:b/>
          <w:color w:val="000000" w:themeColor="text1"/>
        </w:rPr>
        <w:t>territorial konsekvensanalyse</w:t>
      </w:r>
      <w:r>
        <w:rPr>
          <w:color w:val="000000" w:themeColor="text1"/>
        </w:rPr>
        <w:t xml:space="preserve"> (på regionalt niveau) </w:t>
      </w:r>
      <w:r>
        <w:rPr>
          <w:b/>
          <w:color w:val="000000" w:themeColor="text1"/>
        </w:rPr>
        <w:t>af virkningerne af omstillingen i bilsektoren</w:t>
      </w:r>
      <w:r>
        <w:rPr>
          <w:color w:val="000000" w:themeColor="text1"/>
        </w:rPr>
        <w:t xml:space="preserve"> som udgangspunkt for rammen for en retfærdig omstilling, herunder en </w:t>
      </w:r>
      <w:r>
        <w:rPr>
          <w:b/>
          <w:color w:val="000000" w:themeColor="text1"/>
        </w:rPr>
        <w:t>detaljeret kortlægning af konsekvenserne</w:t>
      </w:r>
      <w:r>
        <w:rPr>
          <w:color w:val="000000" w:themeColor="text1"/>
        </w:rPr>
        <w:t xml:space="preserve"> for den regionale vækst og beskæftigelse.</w:t>
      </w:r>
    </w:p>
    <w:p w14:paraId="044F6BD4" w14:textId="77777777" w:rsidR="00165AD1" w:rsidRPr="004D629F" w:rsidRDefault="00165AD1">
      <w:pPr>
        <w:numPr>
          <w:ilvl w:val="0"/>
          <w:numId w:val="18"/>
        </w:numPr>
        <w:rPr>
          <w:color w:val="000000" w:themeColor="text1"/>
        </w:rPr>
      </w:pPr>
      <w:r>
        <w:rPr>
          <w:color w:val="000000" w:themeColor="text1"/>
        </w:rPr>
        <w:t xml:space="preserve">Tage hånd om fælles udfordringer og muligheder for regioner og SMV'er for så vidt angår </w:t>
      </w:r>
      <w:r>
        <w:rPr>
          <w:b/>
          <w:color w:val="000000" w:themeColor="text1"/>
        </w:rPr>
        <w:t>bilindustriens forsyningskæde</w:t>
      </w:r>
      <w:r>
        <w:rPr>
          <w:color w:val="000000" w:themeColor="text1"/>
        </w:rPr>
        <w:t>, som vil blive særlig berørt af omstillingen af drivlinjen.</w:t>
      </w:r>
    </w:p>
    <w:p w14:paraId="75E85A30" w14:textId="77777777" w:rsidR="00165AD1" w:rsidRPr="004D629F" w:rsidRDefault="00165AD1">
      <w:pPr>
        <w:numPr>
          <w:ilvl w:val="0"/>
          <w:numId w:val="18"/>
        </w:numPr>
        <w:rPr>
          <w:color w:val="000000" w:themeColor="text1"/>
        </w:rPr>
      </w:pPr>
      <w:r>
        <w:rPr>
          <w:color w:val="000000" w:themeColor="text1"/>
        </w:rPr>
        <w:t xml:space="preserve">Støtte </w:t>
      </w:r>
      <w:r>
        <w:rPr>
          <w:b/>
          <w:color w:val="000000" w:themeColor="text1"/>
        </w:rPr>
        <w:t>omskoling og opkvalificering af den (regionale) arbejdsstyrke</w:t>
      </w:r>
      <w:r>
        <w:rPr>
          <w:color w:val="000000" w:themeColor="text1"/>
        </w:rPr>
        <w:t xml:space="preserve"> for at undgå tab af arbejdspladser i vores regioner. Vi er nødt til at overvåge udbuddet af og efterspørgslen efter relevante færdigheder og foregribe fremtidige krav i tæt samarbejde med den EU-dækkende ramme for </w:t>
      </w:r>
      <w:r>
        <w:rPr>
          <w:i/>
          <w:color w:val="000000" w:themeColor="text1"/>
        </w:rPr>
        <w:t>Pagten for færdigheder</w:t>
      </w:r>
      <w:r>
        <w:rPr>
          <w:color w:val="000000" w:themeColor="text1"/>
        </w:rPr>
        <w:t xml:space="preserve"> og navnlig med </w:t>
      </w:r>
      <w:r>
        <w:rPr>
          <w:b/>
          <w:color w:val="000000" w:themeColor="text1"/>
        </w:rPr>
        <w:t>Automotive Skills Alliance</w:t>
      </w:r>
      <w:r>
        <w:rPr>
          <w:color w:val="000000" w:themeColor="text1"/>
        </w:rPr>
        <w:t>.</w:t>
      </w:r>
    </w:p>
    <w:p w14:paraId="6DD8C9C9" w14:textId="77777777" w:rsidR="00165AD1" w:rsidRPr="004D629F" w:rsidRDefault="00165AD1">
      <w:pPr>
        <w:numPr>
          <w:ilvl w:val="0"/>
          <w:numId w:val="18"/>
        </w:numPr>
        <w:rPr>
          <w:color w:val="000000" w:themeColor="text1"/>
        </w:rPr>
      </w:pPr>
      <w:r>
        <w:rPr>
          <w:color w:val="000000" w:themeColor="text1"/>
        </w:rPr>
        <w:t xml:space="preserve">Yderligere udvikle en stærk forskningsramme for </w:t>
      </w:r>
      <w:r>
        <w:rPr>
          <w:b/>
          <w:color w:val="000000" w:themeColor="text1"/>
        </w:rPr>
        <w:t>industriel omstilling og innovation</w:t>
      </w:r>
      <w:r>
        <w:rPr>
          <w:color w:val="000000" w:themeColor="text1"/>
        </w:rPr>
        <w:t xml:space="preserve"> i den europæiske bilindustri, som øger robustheden i forsyningskæden for strategiske og kritiske råstoffer.</w:t>
      </w:r>
    </w:p>
    <w:p w14:paraId="30C22905" w14:textId="77777777" w:rsidR="00165AD1" w:rsidRPr="004D629F" w:rsidRDefault="00165AD1">
      <w:pPr>
        <w:numPr>
          <w:ilvl w:val="0"/>
          <w:numId w:val="18"/>
        </w:numPr>
        <w:rPr>
          <w:color w:val="000000" w:themeColor="text1"/>
        </w:rPr>
      </w:pPr>
      <w:r>
        <w:rPr>
          <w:color w:val="000000" w:themeColor="text1"/>
        </w:rPr>
        <w:t xml:space="preserve">Skabe fleksibilitet i </w:t>
      </w:r>
      <w:r>
        <w:rPr>
          <w:b/>
          <w:color w:val="000000" w:themeColor="text1"/>
        </w:rPr>
        <w:t>retningslinjerne for statsstøtte</w:t>
      </w:r>
      <w:r>
        <w:rPr>
          <w:color w:val="000000" w:themeColor="text1"/>
        </w:rPr>
        <w:t xml:space="preserve"> (herunder gruppefritagelsesforordningen) for at sætte bilregionerne i stand til at styre og forvalte denne omstilling og undgå dens negative virkninger. Der bør også tilvejebringes støtteforanstaltninger for lokale og regionale myndigheder med henblik på at fremskynde udbredelsen af </w:t>
      </w:r>
      <w:r>
        <w:rPr>
          <w:b/>
          <w:color w:val="000000" w:themeColor="text1"/>
        </w:rPr>
        <w:t>innovative teknologier</w:t>
      </w:r>
      <w:r>
        <w:rPr>
          <w:color w:val="000000" w:themeColor="text1"/>
        </w:rPr>
        <w:t xml:space="preserve"> gennem offentlige indkøb.</w:t>
      </w:r>
    </w:p>
    <w:p w14:paraId="23AC682E" w14:textId="77777777" w:rsidR="00165AD1" w:rsidRPr="004D629F" w:rsidRDefault="00165AD1">
      <w:pPr>
        <w:numPr>
          <w:ilvl w:val="0"/>
          <w:numId w:val="18"/>
        </w:numPr>
        <w:rPr>
          <w:color w:val="000000" w:themeColor="text1"/>
        </w:rPr>
      </w:pPr>
      <w:r>
        <w:rPr>
          <w:color w:val="000000" w:themeColor="text1"/>
        </w:rPr>
        <w:t>Støtte regionerne i at etablere</w:t>
      </w:r>
      <w:r>
        <w:rPr>
          <w:b/>
          <w:color w:val="000000" w:themeColor="text1"/>
        </w:rPr>
        <w:t xml:space="preserve"> offentligt tilgængelige ladestandere og tankstationer</w:t>
      </w:r>
      <w:r>
        <w:rPr>
          <w:color w:val="000000" w:themeColor="text1"/>
        </w:rPr>
        <w:t xml:space="preserve"> med henblik på at fremme udbredelsen af elektriske køretøjer og køretøjer, som anvender alternative lav- og nulemissionsbrændstoffer. Det er afgørende for den territoriale og sociale samhørighed, at disse stationer er til rådighed i alle regioner, og at de er interoperable på tværs af grænserne.</w:t>
      </w:r>
    </w:p>
    <w:p w14:paraId="28256B81" w14:textId="77777777" w:rsidR="00165AD1" w:rsidRPr="004D629F" w:rsidRDefault="00165AD1">
      <w:pPr>
        <w:numPr>
          <w:ilvl w:val="0"/>
          <w:numId w:val="18"/>
        </w:numPr>
        <w:rPr>
          <w:color w:val="000000" w:themeColor="text1"/>
        </w:rPr>
      </w:pPr>
      <w:r>
        <w:rPr>
          <w:b/>
          <w:color w:val="000000" w:themeColor="text1"/>
        </w:rPr>
        <w:t>Koncentrere de tilgængelige offentlige og private investeringsfonde</w:t>
      </w:r>
      <w:r>
        <w:rPr>
          <w:color w:val="000000" w:themeColor="text1"/>
        </w:rPr>
        <w:t xml:space="preserve"> om de forskellige teknologiske løsninger (f.eks. elektrificering, brintteknologier og syntetiske brændstoffer) for at sikre den europæiske bilindustris konkurrenceevne og innovation.</w:t>
      </w:r>
    </w:p>
    <w:p w14:paraId="3E99EF95" w14:textId="77777777" w:rsidR="00165AD1" w:rsidRPr="004D629F" w:rsidRDefault="00165AD1">
      <w:pPr>
        <w:numPr>
          <w:ilvl w:val="0"/>
          <w:numId w:val="18"/>
        </w:numPr>
        <w:rPr>
          <w:color w:val="000000" w:themeColor="text1"/>
        </w:rPr>
      </w:pPr>
      <w:r>
        <w:rPr>
          <w:color w:val="000000" w:themeColor="text1"/>
        </w:rPr>
        <w:t xml:space="preserve">Anvende en </w:t>
      </w:r>
      <w:r>
        <w:rPr>
          <w:b/>
          <w:color w:val="000000" w:themeColor="text1"/>
        </w:rPr>
        <w:t>tilgang med flerniveaustyring og partnerskab</w:t>
      </w:r>
      <w:r>
        <w:rPr>
          <w:color w:val="000000" w:themeColor="text1"/>
        </w:rPr>
        <w:t xml:space="preserve"> til denne omstilling med henblik på hensigtsmæssig og effektiv politisk planlægning, budgetmæssige foranstaltninger og dialog med alle interessenter og offentlige myndigheder på alle niveauer, herunder Kommissionen, Rådet og Europa-Parlamentet.</w:t>
      </w:r>
    </w:p>
    <w:p w14:paraId="3288F80D" w14:textId="77777777" w:rsidR="00165AD1" w:rsidRPr="004D629F" w:rsidRDefault="00165AD1">
      <w:pPr>
        <w:pStyle w:val="ListParagraph"/>
        <w:numPr>
          <w:ilvl w:val="0"/>
          <w:numId w:val="18"/>
        </w:numPr>
        <w:rPr>
          <w:color w:val="000000" w:themeColor="text1"/>
        </w:rPr>
      </w:pPr>
      <w:r>
        <w:rPr>
          <w:color w:val="000000" w:themeColor="text1"/>
        </w:rPr>
        <w:t xml:space="preserve">Støtte denne alliance som den vigtigste </w:t>
      </w:r>
      <w:r>
        <w:rPr>
          <w:b/>
          <w:color w:val="000000" w:themeColor="text1"/>
        </w:rPr>
        <w:t>åbne platform for koordinering</w:t>
      </w:r>
      <w:r>
        <w:rPr>
          <w:color w:val="000000" w:themeColor="text1"/>
        </w:rPr>
        <w:t xml:space="preserve"> af bilproducerende regioner og regioner med forsyningsindustri, så de kan arbejde sammen på regionalt, nationalt og </w:t>
      </w:r>
      <w:r>
        <w:rPr>
          <w:color w:val="000000" w:themeColor="text1"/>
        </w:rPr>
        <w:lastRenderedPageBreak/>
        <w:t>europæisk plan og indgå i et tæt samarbejde med eksisterende initiativer for at gøre omstillingen til en succes.</w:t>
      </w:r>
    </w:p>
    <w:p w14:paraId="4BA0EB28" w14:textId="77777777" w:rsidR="00165AD1" w:rsidRPr="004D629F" w:rsidRDefault="00165AD1">
      <w:pPr>
        <w:rPr>
          <w:color w:val="000000" w:themeColor="text1"/>
        </w:rPr>
      </w:pPr>
    </w:p>
    <w:p w14:paraId="3BF1C09A" w14:textId="77777777" w:rsidR="00426830" w:rsidRPr="004D629F" w:rsidRDefault="00426830">
      <w:pPr>
        <w:rPr>
          <w:color w:val="000000" w:themeColor="text1"/>
        </w:rPr>
      </w:pPr>
    </w:p>
    <w:p w14:paraId="5DD81DCE" w14:textId="77777777" w:rsidR="00DF05E8" w:rsidRDefault="00DF05E8">
      <w:pPr>
        <w:spacing w:line="240" w:lineRule="auto"/>
        <w:jc w:val="left"/>
        <w:rPr>
          <w:b/>
          <w:color w:val="000000" w:themeColor="text1"/>
          <w:u w:val="single"/>
        </w:rPr>
      </w:pPr>
      <w:r>
        <w:rPr>
          <w:b/>
          <w:color w:val="000000" w:themeColor="text1"/>
          <w:u w:val="single"/>
        </w:rPr>
        <w:br w:type="page"/>
      </w:r>
    </w:p>
    <w:p w14:paraId="4476B7FA" w14:textId="42234342" w:rsidR="00DC3301" w:rsidRPr="004D629F" w:rsidRDefault="000F0164" w:rsidP="00412AE9">
      <w:pPr>
        <w:keepNext/>
        <w:rPr>
          <w:b/>
          <w:color w:val="000000" w:themeColor="text1"/>
          <w:u w:val="single"/>
        </w:rPr>
      </w:pPr>
      <w:r>
        <w:rPr>
          <w:b/>
          <w:color w:val="000000" w:themeColor="text1"/>
          <w:u w:val="single"/>
        </w:rPr>
        <w:lastRenderedPageBreak/>
        <w:t>YDERLIGERE BAGGRUND</w:t>
      </w:r>
    </w:p>
    <w:p w14:paraId="197CB81B" w14:textId="77777777" w:rsidR="00DC3301" w:rsidRPr="004D629F" w:rsidRDefault="00DC3301" w:rsidP="00412AE9">
      <w:pPr>
        <w:keepNext/>
        <w:rPr>
          <w:b/>
          <w:color w:val="000000" w:themeColor="text1"/>
          <w:u w:val="single"/>
        </w:rPr>
      </w:pPr>
    </w:p>
    <w:p w14:paraId="60AFA5D2" w14:textId="77777777" w:rsidR="00DC3301" w:rsidRPr="004D629F" w:rsidRDefault="00DC3301">
      <w:pPr>
        <w:rPr>
          <w:color w:val="000000" w:themeColor="text1"/>
        </w:rPr>
      </w:pPr>
      <w:r>
        <w:rPr>
          <w:color w:val="000000" w:themeColor="text1"/>
        </w:rPr>
        <w:t>Med henblik på at gennemføre EU's 2030-klimaplan og nå målene om at forbedre mobilitetsforholdene for mennesker og virksomheder, tilgængeligheden og klima- og miljøbeskyttelsen på en socialt afbalanceret måde vil det være nødvendigt at reducere drivhusgasemissionerne drastisk med mindst 55 % inden 2030 og nå fuld klimaneutralitet senest i 2050. Sammen med andre sektorer skal der gøres en indsats for at sikre, at emissionerne fra transport reduceres.</w:t>
      </w:r>
    </w:p>
    <w:p w14:paraId="4D79441A" w14:textId="77777777" w:rsidR="00DC3301" w:rsidRPr="004D629F" w:rsidRDefault="00DC3301">
      <w:pPr>
        <w:rPr>
          <w:color w:val="000000" w:themeColor="text1"/>
        </w:rPr>
      </w:pPr>
    </w:p>
    <w:p w14:paraId="403678FB" w14:textId="77777777" w:rsidR="00DC3301" w:rsidRPr="004D629F" w:rsidRDefault="00DC3301">
      <w:pPr>
        <w:rPr>
          <w:color w:val="000000" w:themeColor="text1"/>
        </w:rPr>
      </w:pPr>
      <w:r>
        <w:rPr>
          <w:color w:val="000000" w:themeColor="text1"/>
        </w:rPr>
        <w:t>En af de industrisektorer, som vil blive hårdest ramt af denne nødvendige ændring er bilindustrien. Ud over omstillingen til drivlinjeteknologi vil integreret og sammenhængende digitalisering indebære en stor ændring i værdiskabelsesprocesserne. Fremtidens køretøjer vil være en del af det cloud-opkoblede tingenes internet. Dette vil have en markant indvirkning på bilindustriens økosystem.</w:t>
      </w:r>
    </w:p>
    <w:p w14:paraId="04CBFF5E" w14:textId="77777777" w:rsidR="00DC3301" w:rsidRPr="004D629F" w:rsidRDefault="00DC3301">
      <w:pPr>
        <w:rPr>
          <w:color w:val="000000" w:themeColor="text1"/>
        </w:rPr>
      </w:pPr>
    </w:p>
    <w:p w14:paraId="211065E2" w14:textId="77777777" w:rsidR="00DC3301" w:rsidRPr="004D629F" w:rsidRDefault="00DC3301">
      <w:pPr>
        <w:rPr>
          <w:color w:val="000000" w:themeColor="text1"/>
        </w:rPr>
      </w:pPr>
      <w:r>
        <w:rPr>
          <w:color w:val="000000" w:themeColor="text1"/>
        </w:rPr>
        <w:t>En grundlæggende tværgående omstillingsproces i økosystemerne i bilindustrien vil være nødvendig, hvis man skal nå disse mål, og vil få enorme konsekvenser for den regionale økonomiske vækst, beskæftigelse og yderligere innovation. Bilindustrien er kendetegnet af grænseoverskridende forsyningskæder (med stærk regional forankring). Dette kræver en europæisk strategi. Der er et presserende behov for denne omstilling, men det er også vigtige, at omstillingen sker gradvist og i et tempo, som giver industrien og arbejdsmarkedet mulighed for at tilpasse sig.</w:t>
      </w:r>
    </w:p>
    <w:p w14:paraId="0D215371" w14:textId="77777777" w:rsidR="00DC3301" w:rsidRPr="004D629F" w:rsidRDefault="00DC3301">
      <w:pPr>
        <w:rPr>
          <w:color w:val="000000" w:themeColor="text1"/>
        </w:rPr>
      </w:pPr>
    </w:p>
    <w:p w14:paraId="528ABC57" w14:textId="77777777" w:rsidR="00DC3301" w:rsidRPr="004D629F" w:rsidRDefault="00DC3301">
      <w:pPr>
        <w:rPr>
          <w:color w:val="000000" w:themeColor="text1"/>
        </w:rPr>
      </w:pPr>
      <w:r>
        <w:rPr>
          <w:color w:val="000000" w:themeColor="text1"/>
        </w:rPr>
        <w:t>Desuden vil denne omstilling påvirke regionerne i forhold til størrelsen, omfanget og strukturen af deres bilindustris værdikæde. Regionerne vil derfor stå over for forskellige udfordringer og har brug for forskellige tilpasningsstrategier. Alligevel er konsekvenserne for den lokale og regionale økonomi og beskæftigelse og mulige tendenser i en ny klimaneutral bilindustri ikke blevet tilstrækkeligt evalueret, ligesom der ikke er gjort nok for at tage hånd om dem.</w:t>
      </w:r>
    </w:p>
    <w:p w14:paraId="2F68287A" w14:textId="77777777" w:rsidR="00DC3301" w:rsidRPr="004D629F" w:rsidRDefault="00DC3301">
      <w:pPr>
        <w:rPr>
          <w:color w:val="000000" w:themeColor="text1"/>
        </w:rPr>
      </w:pPr>
    </w:p>
    <w:p w14:paraId="49E5A61D" w14:textId="77777777" w:rsidR="00DC3301" w:rsidRPr="004D629F" w:rsidRDefault="00DC3301">
      <w:pPr>
        <w:rPr>
          <w:color w:val="000000" w:themeColor="text1"/>
        </w:rPr>
      </w:pPr>
      <w:r>
        <w:rPr>
          <w:color w:val="000000" w:themeColor="text1"/>
        </w:rPr>
        <w:t>Omstillingen vil skulle ledsages af passende evalueringer, effektiv politisk planlægning og budgetmæssige foranstaltninger. Den Europæiske Fond for Tilpasning til Globaliseringen er i den forbindelse et nøgleinstrument. Udgangspunktet er nødt til at være en detaljeret konsekvensanalyse på regionalt plan.</w:t>
      </w:r>
    </w:p>
    <w:p w14:paraId="0A227F8E" w14:textId="77777777" w:rsidR="00DC3301" w:rsidRPr="004D629F" w:rsidRDefault="00DC3301">
      <w:pPr>
        <w:rPr>
          <w:color w:val="000000" w:themeColor="text1"/>
        </w:rPr>
      </w:pPr>
    </w:p>
    <w:p w14:paraId="688415F8" w14:textId="77777777" w:rsidR="00DC3301" w:rsidRPr="004D629F" w:rsidRDefault="00DC3301">
      <w:pPr>
        <w:rPr>
          <w:color w:val="000000" w:themeColor="text1"/>
        </w:rPr>
      </w:pPr>
      <w:r>
        <w:rPr>
          <w:color w:val="000000" w:themeColor="text1"/>
        </w:rPr>
        <w:t>Alliancen af bilproducerende regioner vil arbejde hårdt på at opfylde klimamålene i den europæiske bilindustri og samtidig styrke regionale industrielle økosystemer og den regionale industrielle værdiskabelse.</w:t>
      </w:r>
    </w:p>
    <w:p w14:paraId="2E4BAB74" w14:textId="77777777" w:rsidR="0035344D" w:rsidRDefault="0035344D">
      <w:pPr>
        <w:jc w:val="left"/>
        <w:rPr>
          <w:color w:val="000000" w:themeColor="text1"/>
        </w:rPr>
      </w:pPr>
    </w:p>
    <w:p w14:paraId="27FD4B3F" w14:textId="77777777" w:rsidR="00DE6F1A" w:rsidRDefault="00DE6F1A">
      <w:pPr>
        <w:overflowPunct w:val="0"/>
        <w:autoSpaceDE w:val="0"/>
        <w:autoSpaceDN w:val="0"/>
        <w:adjustRightInd w:val="0"/>
        <w:jc w:val="center"/>
        <w:textAlignment w:val="baseline"/>
        <w:rPr>
          <w:lang w:val="nl-BE"/>
        </w:rPr>
      </w:pPr>
      <w:r>
        <w:rPr>
          <w:lang w:val="nl-BE"/>
        </w:rPr>
        <w:t>_____________</w:t>
      </w:r>
    </w:p>
    <w:p w14:paraId="3B3C7C04" w14:textId="77777777" w:rsidR="00DE6F1A" w:rsidRPr="00AE57B9" w:rsidRDefault="00DE6F1A">
      <w:pPr>
        <w:rPr>
          <w:lang w:val="nl-BE"/>
        </w:rPr>
      </w:pPr>
    </w:p>
    <w:p w14:paraId="1A6E6DE9" w14:textId="77777777" w:rsidR="00DE6F1A" w:rsidRPr="004D629F" w:rsidRDefault="00DE6F1A">
      <w:pPr>
        <w:jc w:val="left"/>
        <w:rPr>
          <w:color w:val="000000" w:themeColor="text1"/>
        </w:rPr>
      </w:pPr>
    </w:p>
    <w:sectPr w:rsidR="00DE6F1A"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1FE4" w14:textId="77777777" w:rsidR="001E4D53" w:rsidRDefault="001E4D53">
      <w:r>
        <w:separator/>
      </w:r>
    </w:p>
  </w:endnote>
  <w:endnote w:type="continuationSeparator" w:id="0">
    <w:p w14:paraId="5EEC3FF4"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7549"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D90F"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D82635">
      <w:rPr>
        <w:noProof/>
      </w:rPr>
      <w:t>2</w:t>
    </w:r>
    <w:r>
      <w:fldChar w:fldCharType="end"/>
    </w:r>
    <w:r>
      <w:t>/</w:t>
    </w:r>
    <w:r w:rsidR="00CB629D">
      <w:fldChar w:fldCharType="begin"/>
    </w:r>
    <w:r w:rsidR="00CB629D">
      <w:instrText xml:space="preserve"> NUMPAGES </w:instrText>
    </w:r>
    <w:r w:rsidR="00CB629D">
      <w:fldChar w:fldCharType="separate"/>
    </w:r>
    <w:r w:rsidR="00D82635">
      <w:rPr>
        <w:noProof/>
      </w:rPr>
      <w:t>5</w:t>
    </w:r>
    <w:r w:rsidR="00CB629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606E"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3F24" w14:textId="77777777" w:rsidR="001E4D53" w:rsidRDefault="001E4D53">
      <w:r>
        <w:separator/>
      </w:r>
    </w:p>
  </w:footnote>
  <w:footnote w:type="continuationSeparator" w:id="0">
    <w:p w14:paraId="40940D79"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1728"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2A74"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1606"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1136"/>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5592"/>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3152"/>
    <w:rsid w:val="00606881"/>
    <w:rsid w:val="00607398"/>
    <w:rsid w:val="006102F7"/>
    <w:rsid w:val="0061096E"/>
    <w:rsid w:val="0061703A"/>
    <w:rsid w:val="00620C16"/>
    <w:rsid w:val="00620E30"/>
    <w:rsid w:val="00623888"/>
    <w:rsid w:val="0062409C"/>
    <w:rsid w:val="006346AF"/>
    <w:rsid w:val="00641185"/>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3321"/>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267F"/>
    <w:rsid w:val="00C842D1"/>
    <w:rsid w:val="00C92957"/>
    <w:rsid w:val="00CA2E80"/>
    <w:rsid w:val="00CB03EF"/>
    <w:rsid w:val="00CB629D"/>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2635"/>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E6F1A"/>
    <w:rsid w:val="00DF05E8"/>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13B9"/>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5C0B7E8"/>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da-DK" w:eastAsia="en-US"/>
    </w:rPr>
  </w:style>
  <w:style w:type="character" w:customStyle="1" w:styleId="Heading2Char">
    <w:name w:val="Heading 2 Char"/>
    <w:basedOn w:val="DefaultParagraphFont"/>
    <w:link w:val="Heading2"/>
    <w:rsid w:val="00D77A9B"/>
    <w:rPr>
      <w:sz w:val="22"/>
      <w:szCs w:val="22"/>
      <w:lang w:val="da-DK" w:eastAsia="en-US"/>
    </w:rPr>
  </w:style>
  <w:style w:type="character" w:customStyle="1" w:styleId="Heading3Char">
    <w:name w:val="Heading 3 Char"/>
    <w:basedOn w:val="DefaultParagraphFont"/>
    <w:link w:val="Heading3"/>
    <w:rsid w:val="00D77A9B"/>
    <w:rPr>
      <w:sz w:val="22"/>
      <w:szCs w:val="22"/>
      <w:lang w:val="da-DK" w:eastAsia="en-US"/>
    </w:rPr>
  </w:style>
  <w:style w:type="character" w:customStyle="1" w:styleId="Heading4Char">
    <w:name w:val="Heading 4 Char"/>
    <w:basedOn w:val="DefaultParagraphFont"/>
    <w:link w:val="Heading4"/>
    <w:rsid w:val="00D77A9B"/>
    <w:rPr>
      <w:sz w:val="22"/>
      <w:szCs w:val="22"/>
      <w:lang w:val="da-DK" w:eastAsia="en-US"/>
    </w:rPr>
  </w:style>
  <w:style w:type="character" w:customStyle="1" w:styleId="Heading5Char">
    <w:name w:val="Heading 5 Char"/>
    <w:basedOn w:val="DefaultParagraphFont"/>
    <w:link w:val="Heading5"/>
    <w:rsid w:val="00D77A9B"/>
    <w:rPr>
      <w:sz w:val="22"/>
      <w:szCs w:val="22"/>
      <w:lang w:val="da-DK" w:eastAsia="en-US"/>
    </w:rPr>
  </w:style>
  <w:style w:type="character" w:customStyle="1" w:styleId="Heading6Char">
    <w:name w:val="Heading 6 Char"/>
    <w:basedOn w:val="DefaultParagraphFont"/>
    <w:link w:val="Heading6"/>
    <w:rsid w:val="00D77A9B"/>
    <w:rPr>
      <w:sz w:val="22"/>
      <w:szCs w:val="22"/>
      <w:lang w:val="da-DK" w:eastAsia="en-US"/>
    </w:rPr>
  </w:style>
  <w:style w:type="character" w:customStyle="1" w:styleId="Heading7Char">
    <w:name w:val="Heading 7 Char"/>
    <w:basedOn w:val="DefaultParagraphFont"/>
    <w:link w:val="Heading7"/>
    <w:rsid w:val="00D77A9B"/>
    <w:rPr>
      <w:sz w:val="22"/>
      <w:szCs w:val="22"/>
      <w:lang w:val="da-DK" w:eastAsia="en-US"/>
    </w:rPr>
  </w:style>
  <w:style w:type="character" w:customStyle="1" w:styleId="Heading8Char">
    <w:name w:val="Heading 8 Char"/>
    <w:basedOn w:val="DefaultParagraphFont"/>
    <w:link w:val="Heading8"/>
    <w:rsid w:val="00D77A9B"/>
    <w:rPr>
      <w:sz w:val="22"/>
      <w:szCs w:val="22"/>
      <w:lang w:val="da-DK" w:eastAsia="en-US"/>
    </w:rPr>
  </w:style>
  <w:style w:type="character" w:customStyle="1" w:styleId="Heading9Char">
    <w:name w:val="Heading 9 Char"/>
    <w:basedOn w:val="DefaultParagraphFont"/>
    <w:link w:val="Heading9"/>
    <w:rsid w:val="00D77A9B"/>
    <w:rPr>
      <w:sz w:val="22"/>
      <w:szCs w:val="22"/>
      <w:lang w:val="da-DK"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da-DK"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da-DK"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da-DK"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da-DK"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da-DK"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CYZ3CSFTTJZN-161561581-4859</_dlc_DocId>
    <_dlc_DocIdUrl xmlns="a5cee624-e552-4ccf-bb43-73febcb5c274">
      <Url>http://dm2016/cor/2022/_layouts/15/DocIdRedir.aspx?ID=CYZ3CSFTTJZN-161561581-4859</Url>
      <Description>CYZ3CSFTTJZN-161561581-4859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Thystrup Elin</DisplayName>
        <AccountId>1674</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2554CF-BC73-4BDC-A215-5C4E37A535E1}">
  <ds:schemaRefs>
    <ds:schemaRef ds:uri="http://schemas.microsoft.com/sharepoint/v3/contenttype/forms"/>
  </ds:schemaRefs>
</ds:datastoreItem>
</file>

<file path=customXml/itemProps2.xml><?xml version="1.0" encoding="utf-8"?>
<ds:datastoreItem xmlns:ds="http://schemas.openxmlformats.org/officeDocument/2006/customXml" ds:itemID="{3D88EF54-B7A6-47BB-85E9-C1E4E26282EA}">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3.xml><?xml version="1.0" encoding="utf-8"?>
<ds:datastoreItem xmlns:ds="http://schemas.openxmlformats.org/officeDocument/2006/customXml" ds:itemID="{25B5E581-2660-4EAD-87E9-D018DB821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2E883-4BD7-4300-8E50-E449AF0AE1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Pt_23)_Debat om Alliancen af bilproducerende regioner</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14</cp:revision>
  <cp:lastPrinted>2017-06-16T15:27:00Z</cp:lastPrinted>
  <dcterms:created xsi:type="dcterms:W3CDTF">2022-06-20T09:15:00Z</dcterms:created>
  <dcterms:modified xsi:type="dcterms:W3CDTF">2022-06-29T14:40:00Z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245ae601-ccb8-402d-8eeb-3b687f21ab9d</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BG|1a1b3951-7821-4e6a-85f5-5673fc08bd2c;LV|46f7e311-5d9f-4663-b433-18aeccb7ace7;PT|50ccc04a-eadd-42ae-a0cb-acaf45f812ba;CS|72f9705b-0217-4fd3-bea2-cbc7ed80e26e;HU|6b229040-c589-4408-b4c1-4285663d20a8;SV|c2ed69e7-a339-43d7-8f22-d93680a92aa0;NL|55c6556c-b4f4-441d-9acf-c498d4f838bd;SL|98a412ae-eb01-49e9-ae3d-585a81724cfc;IT|0774613c-01ed-4e5d-a25d-11d2388de825;FR|d2afafd3-4c81-4f60-8f52-ee33f2f54ff3;SK|46d9fce0-ef79-4f71-b89b-cd6aa82426b8;ET|ff6c3f4c-b02c-4c3c-ab07-2c37995a7a0a;EN|f2175f21-25d7-44a3-96da-d6a61b075e1b;MT|7df99101-6854-4a26-b53a-b88c0da02c26;LT|a7ff5ce7-6123-4f68-865a-a57c31810414;PL|1e03da61-4678-4e07-b136-b5024ca9197b;EL|6d4f4d51-af9b-4650-94b4-4276bee85c91;HR|2f555653-ed1a-4fe6-8362-9082d95989e5;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87;#SPL-CDR|8f822234-72c1-4721-9e21-9e3c2bc35462;#41;#ET|ff6c3f4c-b02c-4c3c-ab07-2c37995a7a0a;#38;#HR|2f555653-ed1a-4fe6-8362-9082d95989e5;#35;#LT|a7ff5ce7-6123-4f68-865a-a57c31810414;#34;#SL|98a412ae-eb01-49e9-ae3d-585a81724cfc;#33;#FR|d2afafd3-4c81-4f60-8f52-ee33f2f54ff3;#30;#RO|feb747a2-64cd-4299-af12-4833ddc30497;#29;#LV|46f7e311-5d9f-4663-b433-18aeccb7ace7;#28;#MT|7df99101-6854-4a26-b53a-b88c0da02c26;#27;#HU|6b229040-c589-4408-b4c1-4285663d20a8;#26;#ES|e7a6b05b-ae16-40c8-add9-68b64b03aeba;#25;#CS|72f9705b-0217-4fd3-bea2-cbc7ed80e26e;#24;#PT|50ccc04a-eadd-42ae-a0cb-acaf45f812ba;#23;#BG|1a1b3951-7821-4e6a-85f5-5673fc08bd2c;#21;#EL|6d4f4d51-af9b-4650-94b4-4276bee85c91;#20;#SK|46d9fce0-ef79-4f71-b89b-cd6aa82426b8;#19;#NL|55c6556c-b4f4-441d-9acf-c498d4f838bd;#18;#DE|f6b31e5a-26fa-4935-b661-318e46daf27e;#15;#IT|0774613c-01ed-4e5d-a25d-11d2388de825;#14;#SV|c2ed69e7-a339-43d7-8f22-d93680a92aa0;#11;#PL|1e03da61-4678-4e07-b136-b5024ca9197b;#8;#Unrestricted|826e22d7-d029-4ec0-a450-0c28ff673572;#6;#Final|ea5e6674-7b27-4bac-b091-73adbb394efe;#94;#PSP|86053a00-eaa6-4fe6-9aeb-d40a63939b2a;#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22;#DA|5d49c027-8956-412b-aa16-e85a0f96ad0e</vt:lpwstr>
  </property>
</Properties>
</file>